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00" w:lineRule="exact"/>
        <w:jc w:val="center"/>
        <w:rPr>
          <w:rFonts w:ascii="方正小标宋_GBK" w:eastAsia="方正小标宋_GBK" w:cs="宋体"/>
          <w:bCs/>
          <w:szCs w:val="21"/>
        </w:rPr>
      </w:pPr>
      <w:r>
        <w:rPr>
          <w:rFonts w:hint="eastAsia" w:ascii="方正小标宋_GBK" w:eastAsia="方正小标宋_GBK" w:cs="宋体"/>
          <w:bCs/>
          <w:szCs w:val="21"/>
        </w:rPr>
        <w:t>（</w:t>
      </w:r>
      <w:r>
        <w:rPr>
          <w:rFonts w:hint="eastAsia" w:ascii="方正小标宋_GBK" w:eastAsia="方正小标宋_GBK" w:cs="宋体"/>
          <w:bCs/>
          <w:szCs w:val="21"/>
        </w:rPr>
        <w:sym w:font="Wingdings 2" w:char="00A3"/>
      </w:r>
      <w:r>
        <w:rPr>
          <w:rFonts w:hint="eastAsia" w:ascii="方正小标宋_GBK" w:eastAsia="方正小标宋_GBK" w:cs="宋体"/>
          <w:bCs/>
          <w:szCs w:val="21"/>
        </w:rPr>
        <w:t xml:space="preserve"> 可网上公开   □ 不可网上公开）</w:t>
      </w:r>
    </w:p>
    <w:p>
      <w:pPr>
        <w:spacing w:line="300" w:lineRule="exact"/>
        <w:ind w:right="-334" w:firstLine="6050" w:firstLineChars="2750"/>
        <w:rPr>
          <w:rFonts w:ascii="方正黑体_GBK" w:hAnsi="宋体" w:eastAsia="方正黑体_GBK"/>
          <w:szCs w:val="21"/>
        </w:rPr>
      </w:pPr>
      <w:r>
        <w:rPr>
          <w:rFonts w:hint="eastAsia" w:ascii="方正黑体_GBK" w:hAnsi="宋体" w:eastAsia="方正黑体_GBK" w:cs="宋体"/>
          <w:bCs/>
          <w:szCs w:val="21"/>
        </w:rPr>
        <w:t>填报时间：2020年</w:t>
      </w:r>
      <w:r>
        <w:rPr>
          <w:rFonts w:hint="eastAsia" w:ascii="方正黑体_GBK" w:hAnsi="宋体" w:eastAsia="方正黑体_GBK" w:cs="宋体"/>
          <w:bCs/>
          <w:szCs w:val="21"/>
          <w:lang w:val="en-US" w:eastAsia="zh-CN"/>
        </w:rPr>
        <w:t>04</w:t>
      </w:r>
      <w:r>
        <w:rPr>
          <w:rFonts w:hint="eastAsia" w:ascii="方正黑体_GBK" w:hAnsi="宋体" w:eastAsia="方正黑体_GBK" w:cs="宋体"/>
          <w:bCs/>
          <w:szCs w:val="21"/>
        </w:rPr>
        <w:t>月</w:t>
      </w:r>
    </w:p>
    <w:tbl>
      <w:tblPr>
        <w:tblStyle w:val="2"/>
        <w:tblW w:w="8990"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410"/>
        <w:gridCol w:w="663"/>
        <w:gridCol w:w="1559"/>
        <w:gridCol w:w="482"/>
        <w:gridCol w:w="273"/>
        <w:gridCol w:w="435"/>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ascii="方正仿宋_GBK" w:eastAsia="方正仿宋_GBK" w:cs="宋体"/>
                <w:bCs/>
              </w:rPr>
            </w:pPr>
            <w:r>
              <w:rPr>
                <w:rFonts w:hint="eastAsia" w:ascii="方正仿宋_GBK" w:eastAsia="方正仿宋_GBK" w:cs="宋体"/>
                <w:bCs/>
              </w:rPr>
              <w:t>企业名称</w:t>
            </w:r>
          </w:p>
        </w:tc>
        <w:tc>
          <w:tcPr>
            <w:tcW w:w="5114" w:type="dxa"/>
            <w:gridSpan w:val="4"/>
            <w:tcBorders>
              <w:top w:val="single" w:color="auto" w:sz="18" w:space="0"/>
            </w:tcBorders>
            <w:vAlign w:val="center"/>
          </w:tcPr>
          <w:p>
            <w:pPr>
              <w:spacing w:line="360" w:lineRule="exact"/>
              <w:jc w:val="center"/>
              <w:outlineLvl w:val="0"/>
              <w:rPr>
                <w:rFonts w:ascii="方正仿宋_GBK" w:eastAsia="方正仿宋_GBK" w:cs="宋体"/>
                <w:bCs/>
              </w:rPr>
            </w:pPr>
            <w:r>
              <w:rPr>
                <w:rFonts w:hint="eastAsia" w:cs="宋体"/>
                <w:b/>
                <w:bCs/>
                <w:lang w:val="en-US" w:eastAsia="zh-CN"/>
              </w:rPr>
              <w:t>点夺机电工程江苏有限公司</w:t>
            </w:r>
          </w:p>
        </w:tc>
        <w:tc>
          <w:tcPr>
            <w:tcW w:w="708" w:type="dxa"/>
            <w:gridSpan w:val="2"/>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jc w:val="center"/>
              <w:rPr>
                <w:rFonts w:ascii="方正仿宋_GBK" w:eastAsia="方正仿宋_GBK" w:cs="宋体"/>
                <w:bCs/>
              </w:rPr>
            </w:pPr>
            <w:r>
              <w:rPr>
                <w:rFonts w:hint="eastAsia" w:cs="宋体"/>
                <w:bCs/>
                <w:lang w:val="en-US" w:eastAsia="zh-CN"/>
              </w:rPr>
              <w:t>启东高新技术产业开发区</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企业简介</w:t>
            </w:r>
          </w:p>
          <w:p>
            <w:pPr>
              <w:spacing w:line="360" w:lineRule="exact"/>
              <w:jc w:val="center"/>
              <w:rPr>
                <w:rFonts w:ascii="方正仿宋_GBK" w:eastAsia="方正仿宋_GBK" w:cs="宋体"/>
                <w:bCs/>
              </w:rPr>
            </w:pPr>
            <w:r>
              <w:rPr>
                <w:rFonts w:hint="eastAsia" w:ascii="方正仿宋_GBK" w:eastAsia="方正仿宋_GBK" w:cs="宋体"/>
                <w:bCs/>
              </w:rPr>
              <w:t>（300字以内）</w:t>
            </w:r>
          </w:p>
        </w:tc>
        <w:tc>
          <w:tcPr>
            <w:tcW w:w="7425" w:type="dxa"/>
            <w:gridSpan w:val="7"/>
            <w:vAlign w:val="center"/>
          </w:tcPr>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点夺机电工程江苏有限公司作为工艺排气管道专业生产供应商及半导体工艺排气系统专业集成商，点夺一直领航国内相关领域！目前主要产品有：特氟龙内衬风管、不锈钢风管、镀锌风管以及管道系统中使用的特氟龙、不锈钢、镀锌的各种阀门及其他配件，有圆形蝶阀、方形多叶片调节阀、圆形止回阀、方形止回阀等产品，以及配套的工厂安装服务。我们的专业技术属于高新技术产业，为业主提供高品质的产品及完善的解决方案，产品主要应用在微电子、液晶、芯片等相关行业。</w:t>
            </w:r>
          </w:p>
          <w:p>
            <w:pPr>
              <w:autoSpaceDE w:val="0"/>
              <w:autoSpaceDN w:val="0"/>
              <w:adjustRightInd w:val="0"/>
              <w:spacing w:line="240" w:lineRule="atLeast"/>
              <w:ind w:firstLine="440" w:firstLineChars="200"/>
              <w:rPr>
                <w:rFonts w:hint="eastAsia" w:ascii="方正仿宋_GBK" w:eastAsia="微软雅黑" w:cs="宋体"/>
                <w:bCs/>
                <w:lang w:eastAsia="zh-CN"/>
              </w:rPr>
            </w:pPr>
            <w:r>
              <w:rPr>
                <w:rFonts w:hint="eastAsia" w:ascii="宋体" w:hAnsi="宋体"/>
                <w:szCs w:val="21"/>
              </w:rPr>
              <w:t>公司注册资本</w:t>
            </w:r>
            <w:r>
              <w:rPr>
                <w:rFonts w:hint="eastAsia" w:ascii="宋体" w:hAnsi="宋体"/>
                <w:szCs w:val="21"/>
                <w:lang w:val="en-US" w:eastAsia="zh-CN"/>
              </w:rPr>
              <w:t>5000</w:t>
            </w:r>
            <w:r>
              <w:rPr>
                <w:rFonts w:hint="eastAsia" w:ascii="宋体" w:hAnsi="宋体"/>
                <w:szCs w:val="21"/>
              </w:rPr>
              <w:t>万元</w:t>
            </w:r>
            <w:r>
              <w:rPr>
                <w:rFonts w:hint="eastAsia" w:ascii="宋体" w:hAnsi="宋体"/>
                <w:szCs w:val="21"/>
                <w:lang w:eastAsia="zh-CN"/>
              </w:rPr>
              <w:t>。</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rPr>
              <w:t>主要产品</w:t>
            </w:r>
          </w:p>
        </w:tc>
        <w:tc>
          <w:tcPr>
            <w:tcW w:w="7425" w:type="dxa"/>
            <w:gridSpan w:val="7"/>
            <w:vAlign w:val="center"/>
          </w:tcPr>
          <w:p>
            <w:pPr>
              <w:spacing w:line="360" w:lineRule="exact"/>
              <w:ind w:firstLine="440" w:firstLineChars="200"/>
              <w:rPr>
                <w:rFonts w:ascii="方正仿宋_GBK" w:eastAsia="方正仿宋_GBK" w:cs="宋体"/>
                <w:bCs/>
              </w:rPr>
            </w:pPr>
            <w:r>
              <w:rPr>
                <w:rFonts w:hint="eastAsia" w:ascii="宋体" w:hAnsi="宋体"/>
                <w:szCs w:val="21"/>
                <w:lang w:val="en-US" w:eastAsia="zh-CN"/>
              </w:rPr>
              <w:t>特氟龙内衬风管、不锈钢风管、镀锌风管、圆形蝶阀、方形多叶片调节阀、圆形止回阀、方形止回阀等其他标准、非标配套产品以及微电子、液晶、芯片行业通风排气及处理系统</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rPr>
              <w:t xml:space="preserve">□船舶海工 </w:t>
            </w:r>
            <w:r>
              <w:rPr>
                <w:rFonts w:ascii="方正仿宋_GBK" w:eastAsia="方正仿宋_GBK"/>
              </w:rPr>
              <w:t xml:space="preserve"> </w:t>
            </w:r>
            <w:r>
              <w:rPr>
                <w:rFonts w:hint="eastAsia" w:ascii="方正仿宋_GBK" w:eastAsia="方正仿宋_GBK"/>
              </w:rPr>
              <w:t>□</w:t>
            </w:r>
            <w:r>
              <w:rPr>
                <w:rFonts w:ascii="方正仿宋_GBK" w:eastAsia="方正仿宋_GBK"/>
              </w:rPr>
              <w:t>高端纺织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电子信息</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智能装备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ascii="方正仿宋_GBK" w:eastAsia="方正仿宋_GBK"/>
              </w:rPr>
              <w:t xml:space="preserve">新能源及新能源汽车 </w:t>
            </w:r>
            <w:r>
              <w:rPr>
                <w:rFonts w:hint="eastAsia" w:ascii="方正仿宋_GBK" w:eastAsia="方正仿宋_GBK"/>
              </w:rPr>
              <w:t xml:space="preserve">□智慧建筑 </w:t>
            </w:r>
            <w:r>
              <w:rPr>
                <w:rFonts w:ascii="方正仿宋_GBK" w:eastAsia="方正仿宋_GBK"/>
              </w:rPr>
              <w:t xml:space="preserve"> </w:t>
            </w:r>
            <w:r>
              <w:rPr>
                <w:rFonts w:hint="eastAsia" w:ascii="方正仿宋_GBK" w:eastAsia="方正仿宋_GBK"/>
              </w:rPr>
              <w:t xml:space="preserve">□生物医药 </w:t>
            </w:r>
            <w:r>
              <w:rPr>
                <w:rFonts w:ascii="方正仿宋_GBK" w:eastAsia="方正仿宋_GBK"/>
              </w:rPr>
              <w:t xml:space="preserve"> </w:t>
            </w:r>
            <w:bookmarkStart w:id="0" w:name="_GoBack"/>
            <w:bookmarkEnd w:id="0"/>
            <w:r>
              <w:rPr>
                <w:rFonts w:hint="eastAsia" w:ascii="方正仿宋_GBK" w:eastAsia="方正仿宋_GBK"/>
              </w:rPr>
              <w:sym w:font="Wingdings 2" w:char="0052"/>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outlineLvl w:val="0"/>
              <w:rPr>
                <w:rFonts w:hint="eastAsia" w:ascii="方正仿宋_GBK" w:eastAsia="微软雅黑" w:cs="宋体"/>
                <w:sz w:val="28"/>
                <w:lang w:eastAsia="zh-CN"/>
              </w:rPr>
            </w:pPr>
            <w:r>
              <w:rPr>
                <w:rFonts w:hint="eastAsia" w:ascii="宋体" w:hAnsi="宋体" w:cs="宋体"/>
                <w:b w:val="0"/>
                <w:bCs/>
              </w:rPr>
              <w:t xml:space="preserve"> </w:t>
            </w:r>
            <w:r>
              <w:rPr>
                <w:rFonts w:hint="eastAsia" w:ascii="宋体" w:hAnsi="宋体"/>
                <w:b w:val="0"/>
                <w:bCs/>
                <w:szCs w:val="21"/>
              </w:rPr>
              <w:t>阀门结构优化</w:t>
            </w:r>
            <w:r>
              <w:rPr>
                <w:rFonts w:hint="eastAsia" w:ascii="宋体" w:hAnsi="宋体"/>
                <w:b w:val="0"/>
                <w:bCs/>
                <w:szCs w:val="21"/>
                <w:lang w:eastAsia="zh-CN"/>
              </w:rPr>
              <w:t>、</w:t>
            </w:r>
            <w:r>
              <w:rPr>
                <w:rFonts w:hint="eastAsia" w:ascii="宋体" w:hAnsi="宋体"/>
                <w:b w:val="0"/>
                <w:bCs/>
                <w:szCs w:val="21"/>
                <w:lang w:val="en-US" w:eastAsia="zh-CN"/>
              </w:rPr>
              <w:t>焊接、涂装、表面氧化处理、</w:t>
            </w:r>
            <w:r>
              <w:rPr>
                <w:rFonts w:hint="eastAsia" w:ascii="宋体" w:hAnsi="宋体"/>
                <w:b w:val="0"/>
                <w:bCs/>
                <w:szCs w:val="21"/>
              </w:rPr>
              <w:t>金属表面防腐处理</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1633" w:hRule="atLeast"/>
          <w:jc w:val="center"/>
        </w:trPr>
        <w:tc>
          <w:tcPr>
            <w:tcW w:w="1565" w:type="dxa"/>
            <w:vAlign w:val="center"/>
          </w:tcPr>
          <w:p>
            <w:pPr>
              <w:spacing w:after="0" w:line="300" w:lineRule="exact"/>
              <w:rPr>
                <w:rFonts w:ascii="方正仿宋_GBK" w:eastAsia="方正仿宋_GBK" w:cs="宋体"/>
                <w:bCs/>
              </w:rPr>
            </w:pPr>
            <w:r>
              <w:rPr>
                <w:rFonts w:hint="eastAsia" w:ascii="方正仿宋_GBK" w:eastAsia="方正仿宋_GBK" w:cs="宋体"/>
                <w:bCs/>
              </w:rPr>
              <w:t>技术难题（包括技术背景、需要解决技术问题、技术指标等内容）</w:t>
            </w:r>
          </w:p>
        </w:tc>
        <w:tc>
          <w:tcPr>
            <w:tcW w:w="7425" w:type="dxa"/>
            <w:gridSpan w:val="7"/>
            <w:vAlign w:val="center"/>
          </w:tcPr>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技术指标：</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1、焊接：提高不锈钢风管表面成型质量、降低变形量，提高效率</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2、涂装：提高涂装的质量、效率、解决涂装过程质量问题</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3、焊接、涂装后的表面处理</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4、阀门密封性能提升，泄露率≤0.1%</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5、风量调节性能提升</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6、阀门内部无螺栓等紧固件</w:t>
            </w:r>
          </w:p>
          <w:p>
            <w:pPr>
              <w:autoSpaceDE w:val="0"/>
              <w:autoSpaceDN w:val="0"/>
              <w:adjustRightInd w:val="0"/>
              <w:spacing w:line="240" w:lineRule="atLeast"/>
              <w:ind w:firstLine="440" w:firstLineChars="200"/>
              <w:rPr>
                <w:rFonts w:hint="eastAsia" w:ascii="宋体" w:hAnsi="宋体"/>
                <w:szCs w:val="21"/>
                <w:lang w:val="en-US" w:eastAsia="zh-CN"/>
              </w:rPr>
            </w:pPr>
            <w:r>
              <w:rPr>
                <w:rFonts w:hint="eastAsia" w:ascii="宋体" w:hAnsi="宋体"/>
                <w:szCs w:val="21"/>
                <w:lang w:val="en-US" w:eastAsia="zh-CN"/>
              </w:rPr>
              <w:t>7、金属表面无锈斑</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意向解决方式</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sym w:font="Wingdings 2" w:char="00A3"/>
            </w:r>
            <w:r>
              <w:rPr>
                <w:rFonts w:hint="eastAsia" w:ascii="方正仿宋_GBK" w:eastAsia="方正仿宋_GBK" w:cs="宋体"/>
                <w:bCs/>
              </w:rPr>
              <w:t xml:space="preserve">委托开发  </w:t>
            </w:r>
            <w:r>
              <w:rPr>
                <w:rFonts w:hint="eastAsia" w:ascii="方正仿宋_GBK" w:eastAsia="方正仿宋_GBK"/>
              </w:rPr>
              <w:sym w:font="Wingdings 2" w:char="0052"/>
            </w:r>
            <w:r>
              <w:rPr>
                <w:rFonts w:hint="eastAsia" w:ascii="方正仿宋_GBK" w:eastAsia="方正仿宋_GBK" w:cs="宋体"/>
                <w:bCs/>
              </w:rPr>
              <w:t xml:space="preserve">联合攻关  □成果引进  </w:t>
            </w:r>
            <w:r>
              <w:rPr>
                <w:rFonts w:hint="eastAsia" w:ascii="方正仿宋_GBK" w:eastAsia="方正仿宋_GBK" w:cs="宋体"/>
                <w:bCs/>
              </w:rPr>
              <w:sym w:font="Wingdings 2" w:char="0052"/>
            </w:r>
            <w:r>
              <w:rPr>
                <w:rFonts w:hint="eastAsia" w:ascii="方正仿宋_GBK" w:eastAsia="方正仿宋_GBK" w:cs="宋体"/>
                <w:bCs/>
              </w:rPr>
              <w:t>技术指导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565" w:type="dxa"/>
            <w:vAlign w:val="center"/>
          </w:tcPr>
          <w:p>
            <w:pPr>
              <w:spacing w:line="400" w:lineRule="exact"/>
              <w:jc w:val="center"/>
              <w:rPr>
                <w:rFonts w:ascii="方正仿宋_GBK" w:eastAsia="方正仿宋_GBK" w:cs="宋体"/>
                <w:bCs/>
              </w:rPr>
            </w:pPr>
            <w:r>
              <w:rPr>
                <w:rFonts w:hint="eastAsia" w:ascii="方正仿宋_GBK" w:hAnsi="宋体" w:eastAsia="方正仿宋_GBK" w:cs="宋体"/>
                <w:szCs w:val="21"/>
              </w:rPr>
              <w:t>引进成果阶段</w:t>
            </w:r>
          </w:p>
        </w:tc>
        <w:tc>
          <w:tcPr>
            <w:tcW w:w="7425" w:type="dxa"/>
            <w:gridSpan w:val="7"/>
            <w:vAlign w:val="center"/>
          </w:tcPr>
          <w:p>
            <w:pPr>
              <w:spacing w:line="400" w:lineRule="exact"/>
              <w:ind w:hanging="6"/>
              <w:rPr>
                <w:rFonts w:ascii="方正仿宋_GBK" w:hAnsi="宋体" w:eastAsia="方正仿宋_GBK" w:cs="宋体"/>
                <w:bCs/>
                <w:szCs w:val="21"/>
              </w:rPr>
            </w:pP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ascii="方正仿宋_GBK" w:hAnsi="宋体" w:eastAsia="方正仿宋_GBK" w:cs="宋体"/>
                <w:bCs/>
                <w:szCs w:val="21"/>
              </w:rPr>
              <w:t xml:space="preserve"> </w:t>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eastAsia="方正仿宋_GBK"/>
              </w:rPr>
              <w:t>□</w:t>
            </w:r>
            <w:r>
              <w:rPr>
                <w:rFonts w:hint="eastAsia" w:ascii="方正仿宋_GBK" w:hAnsi="宋体" w:eastAsia="方正仿宋_GBK" w:cs="宋体"/>
                <w:bCs/>
                <w:szCs w:val="21"/>
              </w:rPr>
              <w:t>小批量生产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w:t>
            </w:r>
            <w:r>
              <w:rPr>
                <w:rFonts w:hint="eastAsia" w:ascii="方正仿宋_GBK" w:hAnsi="宋体" w:eastAsia="方正仿宋_GBK" w:cs="宋体"/>
                <w:bCs/>
                <w:szCs w:val="21"/>
              </w:rPr>
              <w:sym w:font="Wingdings 2" w:char="0052"/>
            </w:r>
            <w:r>
              <w:rPr>
                <w:rFonts w:hint="eastAsia" w:ascii="方正仿宋_GBK" w:hAnsi="宋体" w:eastAsia="方正仿宋_GBK" w:cs="宋体"/>
                <w:bCs/>
                <w:szCs w:val="21"/>
              </w:rPr>
              <w:t>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计划投入资金</w:t>
            </w:r>
          </w:p>
        </w:tc>
        <w:tc>
          <w:tcPr>
            <w:tcW w:w="3073" w:type="dxa"/>
            <w:gridSpan w:val="2"/>
            <w:vAlign w:val="center"/>
          </w:tcPr>
          <w:p>
            <w:pPr>
              <w:spacing w:line="360" w:lineRule="exact"/>
              <w:jc w:val="right"/>
              <w:rPr>
                <w:rFonts w:ascii="方正仿宋_GBK" w:eastAsia="方正仿宋_GBK" w:cs="宋体"/>
                <w:bCs/>
              </w:rPr>
            </w:pPr>
            <w:r>
              <w:rPr>
                <w:rFonts w:hint="eastAsia" w:ascii="方正仿宋_GBK" w:eastAsia="方正仿宋_GBK"/>
                <w:lang w:val="en-US" w:eastAsia="zh-CN"/>
              </w:rPr>
              <w:t>30-100</w:t>
            </w:r>
            <w:r>
              <w:rPr>
                <w:rFonts w:hint="eastAsia" w:ascii="方正仿宋_GBK" w:eastAsia="方正仿宋_GBK"/>
              </w:rPr>
              <w:t>万元</w:t>
            </w:r>
          </w:p>
        </w:tc>
        <w:tc>
          <w:tcPr>
            <w:tcW w:w="155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解决难题期限</w:t>
            </w:r>
          </w:p>
        </w:tc>
        <w:tc>
          <w:tcPr>
            <w:tcW w:w="2793" w:type="dxa"/>
            <w:gridSpan w:val="4"/>
            <w:vAlign w:val="center"/>
          </w:tcPr>
          <w:p>
            <w:pPr>
              <w:spacing w:line="360" w:lineRule="exact"/>
              <w:jc w:val="right"/>
              <w:rPr>
                <w:rFonts w:ascii="方正仿宋_GBK" w:eastAsia="方正仿宋_GBK" w:cs="宋体"/>
                <w:bCs/>
              </w:rPr>
            </w:pPr>
            <w:r>
              <w:rPr>
                <w:rFonts w:hint="eastAsia" w:ascii="方正仿宋_GBK" w:eastAsia="方正仿宋_GBK"/>
                <w:lang w:val="en-US" w:eastAsia="zh-CN"/>
              </w:rPr>
              <w:t>3</w:t>
            </w:r>
            <w:r>
              <w:rPr>
                <w:rFonts w:hint="eastAsia" w:ascii="方正仿宋_GBK" w:eastAsia="方正仿宋_GBK"/>
              </w:rPr>
              <w:t>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项目联系人</w:t>
            </w:r>
          </w:p>
        </w:tc>
        <w:tc>
          <w:tcPr>
            <w:tcW w:w="2410" w:type="dxa"/>
            <w:vAlign w:val="center"/>
          </w:tcPr>
          <w:p>
            <w:pPr>
              <w:spacing w:line="360" w:lineRule="exact"/>
              <w:jc w:val="center"/>
              <w:rPr>
                <w:rFonts w:hint="eastAsia" w:ascii="方正仿宋_GBK" w:eastAsia="方正仿宋_GBK" w:cs="宋体"/>
                <w:bCs/>
                <w:lang w:val="en-US" w:eastAsia="zh-CN"/>
              </w:rPr>
            </w:pPr>
            <w:r>
              <w:rPr>
                <w:rFonts w:hint="eastAsia" w:ascii="方正仿宋_GBK" w:eastAsia="方正仿宋_GBK" w:cs="宋体"/>
                <w:bCs/>
                <w:lang w:val="en-US" w:eastAsia="zh-CN"/>
              </w:rPr>
              <w:t>蒿志强</w:t>
            </w:r>
          </w:p>
        </w:tc>
        <w:tc>
          <w:tcPr>
            <w:tcW w:w="663"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手机号码</w:t>
            </w:r>
          </w:p>
        </w:tc>
        <w:tc>
          <w:tcPr>
            <w:tcW w:w="1559" w:type="dxa"/>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lang w:val="en-US" w:eastAsia="zh-CN"/>
              </w:rPr>
              <w:t>18962822298</w:t>
            </w:r>
          </w:p>
        </w:tc>
        <w:tc>
          <w:tcPr>
            <w:tcW w:w="755"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ascii="方正仿宋_GBK" w:eastAsia="方正仿宋_GBK" w:cs="宋体"/>
                <w:bCs/>
              </w:rPr>
            </w:pPr>
            <w:r>
              <w:rPr>
                <w:rFonts w:ascii="Microsoft YaHei UI" w:hAnsi="Microsoft YaHei UI" w:eastAsia="Microsoft YaHei UI" w:cs="Microsoft YaHei UI"/>
                <w:b w:val="0"/>
                <w:i w:val="0"/>
                <w:caps w:val="0"/>
                <w:color w:val="4F4F4F"/>
                <w:spacing w:val="0"/>
                <w:sz w:val="15"/>
                <w:szCs w:val="15"/>
                <w:shd w:val="clear" w:fill="F1F6F5"/>
              </w:rPr>
              <w:t>haozq@dianduo.com</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技术负责人</w:t>
            </w:r>
          </w:p>
        </w:tc>
        <w:tc>
          <w:tcPr>
            <w:tcW w:w="2410" w:type="dxa"/>
            <w:vAlign w:val="center"/>
          </w:tcPr>
          <w:p>
            <w:pPr>
              <w:spacing w:line="360" w:lineRule="exact"/>
              <w:jc w:val="center"/>
              <w:rPr>
                <w:rFonts w:hint="eastAsia" w:ascii="方正仿宋_GBK" w:eastAsia="方正仿宋_GBK" w:cs="宋体"/>
                <w:bCs/>
                <w:lang w:val="en-US" w:eastAsia="zh-CN"/>
              </w:rPr>
            </w:pPr>
            <w:r>
              <w:rPr>
                <w:rFonts w:hint="eastAsia" w:ascii="方正仿宋_GBK" w:eastAsia="方正仿宋_GBK" w:cs="宋体"/>
                <w:bCs/>
                <w:lang w:val="en-US" w:eastAsia="zh-CN"/>
              </w:rPr>
              <w:t>朱青青</w:t>
            </w:r>
          </w:p>
        </w:tc>
        <w:tc>
          <w:tcPr>
            <w:tcW w:w="663"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手机号码</w:t>
            </w:r>
          </w:p>
        </w:tc>
        <w:tc>
          <w:tcPr>
            <w:tcW w:w="1559" w:type="dxa"/>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lang w:val="en-US" w:eastAsia="zh-CN"/>
              </w:rPr>
              <w:t>18962825028</w:t>
            </w:r>
          </w:p>
        </w:tc>
        <w:tc>
          <w:tcPr>
            <w:tcW w:w="755"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ascii="方正仿宋_GBK" w:eastAsia="方正仿宋_GBK" w:cs="宋体"/>
                <w:bCs/>
              </w:rPr>
            </w:pPr>
            <w:r>
              <w:rPr>
                <w:rFonts w:ascii="Verdana" w:hAnsi="Verdana" w:eastAsia="宋体" w:cs="Verdana"/>
                <w:b w:val="0"/>
                <w:i w:val="0"/>
                <w:caps w:val="0"/>
                <w:color w:val="000000"/>
                <w:spacing w:val="0"/>
                <w:sz w:val="16"/>
                <w:szCs w:val="16"/>
                <w:shd w:val="clear" w:fill="FFFFFF"/>
              </w:rPr>
              <w:t>zhuqingqing@dianduo.com</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Verdana">
    <w:panose1 w:val="020B0604030504040204"/>
    <w:charset w:val="00"/>
    <w:family w:val="auto"/>
    <w:pitch w:val="default"/>
    <w:sig w:usb0="A00006FF" w:usb1="4000205B" w:usb2="0000001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C4531"/>
    <w:rsid w:val="004C4531"/>
    <w:rsid w:val="00E37911"/>
    <w:rsid w:val="102E3A4E"/>
    <w:rsid w:val="105F5222"/>
    <w:rsid w:val="2E0C1FDE"/>
    <w:rsid w:val="2FA9676A"/>
    <w:rsid w:val="32D213B5"/>
    <w:rsid w:val="360F3A4B"/>
    <w:rsid w:val="37400711"/>
    <w:rsid w:val="64956389"/>
    <w:rsid w:val="666C4048"/>
    <w:rsid w:val="70A577C7"/>
    <w:rsid w:val="7D820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48</Words>
  <Characters>279</Characters>
  <Lines>2</Lines>
  <Paragraphs>1</Paragraphs>
  <TotalTime>16</TotalTime>
  <ScaleCrop>false</ScaleCrop>
  <LinksUpToDate>false</LinksUpToDate>
  <CharactersWithSpaces>326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2020-04-14T06:55:00Z</dcterms:created>
  <dc:creator>Administrator</dc:creator>
  <cp:lastModifiedBy>心跳的感觉</cp:lastModifiedBy>
  <dcterms:modified xsi:type="dcterms:W3CDTF">2020-04-15T15:57:21Z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