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BD75E">
      <w:pPr>
        <w:numPr>
          <w:ilvl w:val="0"/>
          <w:numId w:val="0"/>
        </w:numPr>
        <w:jc w:val="center"/>
        <w:rPr>
          <w:rFonts w:hint="eastAsia" w:ascii="华文中宋" w:hAnsi="华文中宋" w:eastAsia="华文中宋" w:cs="华文中宋"/>
          <w:b/>
          <w:bCs/>
          <w:sz w:val="36"/>
          <w:szCs w:val="44"/>
          <w:lang w:val="en-US" w:eastAsia="zh-CN"/>
        </w:rPr>
      </w:pPr>
      <w:bookmarkStart w:id="0" w:name="_GoBack"/>
      <w:bookmarkEnd w:id="0"/>
      <w:r>
        <w:rPr>
          <w:rFonts w:hint="eastAsia" w:ascii="华文中宋" w:hAnsi="华文中宋" w:eastAsia="华文中宋" w:cs="华文中宋"/>
          <w:b/>
          <w:bCs/>
          <w:sz w:val="36"/>
          <w:szCs w:val="44"/>
          <w:lang w:val="en-US" w:eastAsia="zh-CN"/>
        </w:rPr>
        <w:t>2026年上海产学研奖申报注意事项</w:t>
      </w:r>
    </w:p>
    <w:p w14:paraId="48BB6D42">
      <w:pPr>
        <w:numPr>
          <w:ilvl w:val="0"/>
          <w:numId w:val="0"/>
        </w:numPr>
        <w:jc w:val="center"/>
        <w:rPr>
          <w:rFonts w:hint="eastAsia" w:ascii="华文中宋" w:hAnsi="华文中宋" w:eastAsia="华文中宋" w:cs="华文中宋"/>
          <w:b/>
          <w:bCs/>
          <w:sz w:val="36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44"/>
          <w:lang w:val="en-US" w:eastAsia="zh-CN"/>
        </w:rPr>
        <w:t>（高校篇）</w:t>
      </w:r>
    </w:p>
    <w:p w14:paraId="4CFA11CE">
      <w:pPr>
        <w:numPr>
          <w:ilvl w:val="0"/>
          <w:numId w:val="0"/>
        </w:numPr>
        <w:rPr>
          <w:rFonts w:hint="eastAsia"/>
        </w:rPr>
      </w:pPr>
    </w:p>
    <w:p w14:paraId="5FB60E7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项目奖主要</w:t>
      </w:r>
      <w:r>
        <w:rPr>
          <w:rFonts w:hint="eastAsia"/>
          <w:b/>
          <w:bCs/>
          <w:sz w:val="28"/>
          <w:szCs w:val="36"/>
          <w:lang w:val="en-US" w:eastAsia="zh-CN"/>
        </w:rPr>
        <w:t>调整</w:t>
      </w:r>
    </w:p>
    <w:p w14:paraId="2C60C6A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申报主体：允许高校作为第一完成单位</w:t>
      </w:r>
    </w:p>
    <w:p w14:paraId="46E3D25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申报数量：</w:t>
      </w:r>
      <w:r>
        <w:rPr>
          <w:rFonts w:hint="eastAsia"/>
          <w:sz w:val="28"/>
          <w:szCs w:val="36"/>
          <w:lang w:val="en-US" w:eastAsia="zh-CN"/>
        </w:rPr>
        <w:t>申报阶段不做限制</w:t>
      </w:r>
    </w:p>
    <w:p w14:paraId="458C919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奖项设置</w:t>
      </w:r>
      <w:r>
        <w:rPr>
          <w:rFonts w:hint="eastAsia"/>
          <w:sz w:val="28"/>
          <w:szCs w:val="36"/>
          <w:lang w:eastAsia="zh-CN"/>
        </w:rPr>
        <w:t>（</w:t>
      </w:r>
      <w:r>
        <w:rPr>
          <w:rFonts w:hint="eastAsia"/>
          <w:sz w:val="28"/>
          <w:szCs w:val="36"/>
          <w:lang w:val="en-US" w:eastAsia="zh-CN"/>
        </w:rPr>
        <w:t>2026年</w:t>
      </w:r>
      <w:r>
        <w:rPr>
          <w:rFonts w:hint="eastAsia"/>
          <w:sz w:val="28"/>
          <w:szCs w:val="36"/>
          <w:lang w:eastAsia="zh-CN"/>
        </w:rPr>
        <w:t>）</w:t>
      </w:r>
      <w:r>
        <w:rPr>
          <w:rFonts w:hint="eastAsia"/>
          <w:sz w:val="28"/>
          <w:szCs w:val="36"/>
        </w:rPr>
        <w:t>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2"/>
        <w:gridCol w:w="1932"/>
        <w:gridCol w:w="1932"/>
        <w:gridCol w:w="1934"/>
      </w:tblGrid>
      <w:tr w14:paraId="1EE43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32" w:type="dxa"/>
            <w:vAlign w:val="center"/>
          </w:tcPr>
          <w:p w14:paraId="06D62B2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奖等</w:t>
            </w:r>
          </w:p>
        </w:tc>
        <w:tc>
          <w:tcPr>
            <w:tcW w:w="1932" w:type="dxa"/>
            <w:vAlign w:val="center"/>
          </w:tcPr>
          <w:p w14:paraId="35804CC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拟授奖数量</w:t>
            </w:r>
          </w:p>
        </w:tc>
        <w:tc>
          <w:tcPr>
            <w:tcW w:w="1932" w:type="dxa"/>
            <w:vAlign w:val="center"/>
          </w:tcPr>
          <w:p w14:paraId="698792B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完成人数</w:t>
            </w:r>
          </w:p>
        </w:tc>
        <w:tc>
          <w:tcPr>
            <w:tcW w:w="1934" w:type="dxa"/>
            <w:vAlign w:val="center"/>
          </w:tcPr>
          <w:p w14:paraId="2A7553E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完成单位数</w:t>
            </w:r>
          </w:p>
        </w:tc>
      </w:tr>
      <w:tr w14:paraId="01609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32" w:type="dxa"/>
            <w:shd w:val="clear" w:color="auto" w:fill="auto"/>
            <w:vAlign w:val="center"/>
          </w:tcPr>
          <w:p w14:paraId="79B76AB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</w:rPr>
              <w:t>特等奖</w:t>
            </w:r>
          </w:p>
        </w:tc>
        <w:tc>
          <w:tcPr>
            <w:tcW w:w="1932" w:type="dxa"/>
            <w:vAlign w:val="center"/>
          </w:tcPr>
          <w:p w14:paraId="26F578B6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≤2</w:t>
            </w:r>
          </w:p>
        </w:tc>
        <w:tc>
          <w:tcPr>
            <w:tcW w:w="1932" w:type="dxa"/>
            <w:shd w:val="clear" w:color="auto" w:fill="auto"/>
            <w:vAlign w:val="center"/>
          </w:tcPr>
          <w:p w14:paraId="58F7DE6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≤20</w:t>
            </w:r>
          </w:p>
        </w:tc>
        <w:tc>
          <w:tcPr>
            <w:tcW w:w="1934" w:type="dxa"/>
            <w:vMerge w:val="restart"/>
            <w:vAlign w:val="center"/>
          </w:tcPr>
          <w:p w14:paraId="0041AFE0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原则上≤5</w:t>
            </w:r>
          </w:p>
        </w:tc>
      </w:tr>
      <w:tr w14:paraId="32D30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32" w:type="dxa"/>
            <w:shd w:val="clear" w:color="auto" w:fill="auto"/>
            <w:vAlign w:val="center"/>
          </w:tcPr>
          <w:p w14:paraId="63C77BF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</w:rPr>
              <w:t>一等奖</w:t>
            </w:r>
          </w:p>
        </w:tc>
        <w:tc>
          <w:tcPr>
            <w:tcW w:w="1932" w:type="dxa"/>
            <w:vAlign w:val="center"/>
          </w:tcPr>
          <w:p w14:paraId="50A4DB52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≤10</w:t>
            </w:r>
          </w:p>
        </w:tc>
        <w:tc>
          <w:tcPr>
            <w:tcW w:w="1932" w:type="dxa"/>
            <w:shd w:val="clear" w:color="auto" w:fill="auto"/>
            <w:vAlign w:val="center"/>
          </w:tcPr>
          <w:p w14:paraId="2E9AC4C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≤15</w:t>
            </w:r>
          </w:p>
        </w:tc>
        <w:tc>
          <w:tcPr>
            <w:tcW w:w="1934" w:type="dxa"/>
            <w:vMerge w:val="continue"/>
            <w:vAlign w:val="center"/>
          </w:tcPr>
          <w:p w14:paraId="2F887F53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F0E6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32" w:type="dxa"/>
            <w:shd w:val="clear" w:color="auto" w:fill="auto"/>
            <w:vAlign w:val="center"/>
          </w:tcPr>
          <w:p w14:paraId="0AA99EE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二等奖</w:t>
            </w:r>
          </w:p>
        </w:tc>
        <w:tc>
          <w:tcPr>
            <w:tcW w:w="1932" w:type="dxa"/>
            <w:vAlign w:val="center"/>
          </w:tcPr>
          <w:p w14:paraId="56C90BE4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≤20</w:t>
            </w:r>
          </w:p>
        </w:tc>
        <w:tc>
          <w:tcPr>
            <w:tcW w:w="1932" w:type="dxa"/>
            <w:shd w:val="clear" w:color="auto" w:fill="auto"/>
            <w:vAlign w:val="center"/>
          </w:tcPr>
          <w:p w14:paraId="7F25D95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≤10</w:t>
            </w:r>
          </w:p>
        </w:tc>
        <w:tc>
          <w:tcPr>
            <w:tcW w:w="1934" w:type="dxa"/>
            <w:vMerge w:val="continue"/>
            <w:vAlign w:val="center"/>
          </w:tcPr>
          <w:p w14:paraId="63E03DD9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7597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32" w:type="dxa"/>
            <w:vAlign w:val="center"/>
          </w:tcPr>
          <w:p w14:paraId="4A4A89F6">
            <w:pPr>
              <w:numPr>
                <w:ilvl w:val="0"/>
                <w:numId w:val="0"/>
              </w:num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提名奖</w:t>
            </w:r>
          </w:p>
        </w:tc>
        <w:tc>
          <w:tcPr>
            <w:tcW w:w="1932" w:type="dxa"/>
            <w:vAlign w:val="center"/>
          </w:tcPr>
          <w:p w14:paraId="6F670CC1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≤30</w:t>
            </w:r>
          </w:p>
        </w:tc>
        <w:tc>
          <w:tcPr>
            <w:tcW w:w="1932" w:type="dxa"/>
            <w:vAlign w:val="center"/>
          </w:tcPr>
          <w:p w14:paraId="3D55B18A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≤5</w:t>
            </w:r>
          </w:p>
        </w:tc>
        <w:tc>
          <w:tcPr>
            <w:tcW w:w="1934" w:type="dxa"/>
            <w:vMerge w:val="continue"/>
            <w:vAlign w:val="center"/>
          </w:tcPr>
          <w:p w14:paraId="652976D4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1BB9F95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申报注意事项</w:t>
      </w:r>
    </w:p>
    <w:p w14:paraId="46D3CA55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推荐单位选择</w:t>
      </w:r>
    </w:p>
    <w:p w14:paraId="543AD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高校作为第一完成单位申报的项目，推荐单位统一选择“上海市高校科技发展中心”。</w:t>
      </w:r>
    </w:p>
    <w:p w14:paraId="7C80E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高校附属医院</w:t>
      </w:r>
      <w:r>
        <w:rPr>
          <w:rFonts w:hint="eastAsia"/>
          <w:sz w:val="28"/>
          <w:szCs w:val="36"/>
        </w:rPr>
        <w:t>作为第一完成单位申报的项目，推荐单位</w:t>
      </w:r>
      <w:r>
        <w:rPr>
          <w:rFonts w:hint="eastAsia"/>
          <w:sz w:val="28"/>
          <w:szCs w:val="36"/>
          <w:lang w:val="en-US" w:eastAsia="zh-CN"/>
        </w:rPr>
        <w:t>可以</w:t>
      </w:r>
      <w:r>
        <w:rPr>
          <w:rFonts w:hint="eastAsia"/>
          <w:sz w:val="28"/>
          <w:szCs w:val="36"/>
        </w:rPr>
        <w:t>选择“上海市高校科技发展中心”。</w:t>
      </w:r>
    </w:p>
    <w:p w14:paraId="251F5CF4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申报单位</w:t>
      </w:r>
    </w:p>
    <w:p w14:paraId="0F81A20B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由高校科技处（科研院）统一负责本单位账号管理</w:t>
      </w:r>
    </w:p>
    <w:p w14:paraId="2B2721B5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负责老师登录账号，完善申请单位信息</w:t>
      </w:r>
      <w:r>
        <w:rPr>
          <w:rFonts w:hint="eastAsia"/>
          <w:sz w:val="28"/>
          <w:szCs w:val="36"/>
          <w:lang w:eastAsia="zh-CN"/>
        </w:rPr>
        <w:t>，</w:t>
      </w:r>
      <w:r>
        <w:rPr>
          <w:rFonts w:hint="eastAsia"/>
          <w:sz w:val="28"/>
          <w:szCs w:val="36"/>
        </w:rPr>
        <w:t>统一社会信用代码务必填写正确</w:t>
      </w:r>
    </w:p>
    <w:p w14:paraId="50DB58DD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所有高校申报项目（参与项目）均可通过系统查阅</w:t>
      </w:r>
    </w:p>
    <w:p w14:paraId="120EF65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项目提交：</w:t>
      </w:r>
    </w:p>
    <w:p w14:paraId="3BBAC4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①审核牵头项目内容真实性和材料完整性，并在系统点击通过；</w:t>
      </w:r>
    </w:p>
    <w:p w14:paraId="32A1C0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②审阅：参与项目产学研合作真实性；</w:t>
      </w:r>
    </w:p>
    <w:p w14:paraId="55029E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③提交：由各高校科技处（科研院）统一将</w:t>
      </w:r>
      <w:r>
        <w:rPr>
          <w:rFonts w:hint="eastAsia"/>
          <w:sz w:val="28"/>
          <w:szCs w:val="36"/>
          <w:u w:val="single"/>
          <w:lang w:val="en-US" w:eastAsia="zh-CN"/>
        </w:rPr>
        <w:t>纸质材料</w:t>
      </w:r>
      <w:r>
        <w:rPr>
          <w:rFonts w:hint="eastAsia"/>
          <w:sz w:val="28"/>
          <w:szCs w:val="36"/>
          <w:lang w:val="en-US" w:eastAsia="zh-CN"/>
        </w:rPr>
        <w:t>，及</w:t>
      </w:r>
      <w:r>
        <w:rPr>
          <w:rFonts w:hint="eastAsia"/>
          <w:sz w:val="28"/>
          <w:szCs w:val="36"/>
          <w:u w:val="single"/>
          <w:lang w:val="en-US" w:eastAsia="zh-CN"/>
        </w:rPr>
        <w:t>申报项目汇总表</w:t>
      </w:r>
      <w:r>
        <w:rPr>
          <w:rFonts w:hint="eastAsia"/>
          <w:sz w:val="28"/>
          <w:szCs w:val="36"/>
          <w:lang w:val="en-US" w:eastAsia="zh-CN"/>
        </w:rPr>
        <w:t>（含牵头和参与项目）盖章后，交评选办公室。</w:t>
      </w:r>
    </w:p>
    <w:p w14:paraId="100DD1A6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申报人</w:t>
      </w:r>
    </w:p>
    <w:p w14:paraId="19B15192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项目组负责人完成申请人注册，进行填报时，“统一社会信用代码”务必填写正确，以免关联到其他单位。</w:t>
      </w:r>
    </w:p>
    <w:p w14:paraId="13EAE0E6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一个邮箱只能注册一个账号，该账号当年度只能申请一个项目。</w:t>
      </w:r>
    </w:p>
    <w:p w14:paraId="145C6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  <w:lang w:val="en-US" w:eastAsia="zh-CN"/>
        </w:rPr>
      </w:pPr>
    </w:p>
    <w:p w14:paraId="50ECD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上海市高校科技发展中心</w:t>
      </w:r>
    </w:p>
    <w:p w14:paraId="64F29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联系人：孙静</w:t>
      </w:r>
    </w:p>
    <w:p w14:paraId="0D27F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手机：13916160296</w:t>
      </w:r>
    </w:p>
    <w:p w14:paraId="2E5A74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地址：上海市静安区宝山路251号甲506室</w:t>
      </w:r>
    </w:p>
    <w:p w14:paraId="05031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</w:p>
    <w:p w14:paraId="0EEDDA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上海产学研奖评选办公室</w:t>
      </w:r>
    </w:p>
    <w:p w14:paraId="481A46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联系人：虞周</w:t>
      </w:r>
    </w:p>
    <w:p w14:paraId="4D366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手机：13611883583（微信同号），23188437</w:t>
      </w:r>
    </w:p>
    <w:p w14:paraId="02329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地址：上海市北京西路860号市政协4号楼602室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C535D0"/>
    <w:multiLevelType w:val="singleLevel"/>
    <w:tmpl w:val="8BC535D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D612DE7"/>
    <w:multiLevelType w:val="singleLevel"/>
    <w:tmpl w:val="1D612DE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6323BDA8"/>
    <w:multiLevelType w:val="singleLevel"/>
    <w:tmpl w:val="6323BDA8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4ED02D9"/>
    <w:multiLevelType w:val="singleLevel"/>
    <w:tmpl w:val="64ED02D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6E0D9469"/>
    <w:multiLevelType w:val="singleLevel"/>
    <w:tmpl w:val="6E0D9469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EB050E"/>
    <w:rsid w:val="09A41B36"/>
    <w:rsid w:val="16154D6E"/>
    <w:rsid w:val="30214757"/>
    <w:rsid w:val="508B1574"/>
    <w:rsid w:val="55445B7F"/>
    <w:rsid w:val="6648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554</Words>
  <Characters>601</Characters>
  <Lines>0</Lines>
  <Paragraphs>0</Paragraphs>
  <TotalTime>3</TotalTime>
  <ScaleCrop>false</ScaleCrop>
  <LinksUpToDate>false</LinksUpToDate>
  <CharactersWithSpaces>601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2025-05-29T01:22:00Z</dcterms:created>
  <dc:creator>Lenovo</dc:creator>
  <cp:lastModifiedBy>代昕</cp:lastModifiedBy>
  <dcterms:modified xsi:type="dcterms:W3CDTF">2026-10-20T02:08:38Z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eyJoZGlkIjoiNzEyOWI1MDI1MjkwNmY3YmYzMWRkMGY5NmVkNWVkZmIiLCJ1c2VySWQiOiI3NTM3NDQ2OTQifQ==</vt:lpwstr>
  </property>
  <property fmtid="{D5CDD505-2E9C-101B-9397-08002B2CF9AE}" pid="4" name="ICV">
    <vt:lpwstr>0A87FB5B4A7048C78E9482D507C4E11C_13</vt:lpwstr>
  </property>
</Properties>
</file>