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5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  <w14:ligatures w14:val="none"/>
        </w:rPr>
      </w:pPr>
      <w:bookmarkStart w:id="0" w:name="_Hlk158032416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  <w14:ligatures w14:val="none"/>
        </w:rPr>
        <w:t>2024年度尚理晨曦社科专项选题指南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5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重点课题：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深入推进落实党的建设与事业发展深度融合研究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教育家精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神培育，弘扬和践行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高校辅导员新质思想政治工作能力提升路径研究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“时代新人”视域下大学生理想信念教育常态化制度化研究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“一站式”学生社区综合管理模式建设高质量发展的内涵与实现路径研究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高水平学科发展生态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的评价机制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面向新质生产力的高校科技成果转化激励机制研究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习近平文化思想的国际传播研究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新时代系统推进“大思政课”建设策略研究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校建立党史学习教育常态化长效化体制机制研究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高校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红色文化教育体系构建研究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廉洁文化融入新时代高校师德师风建设的实践研究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校主流意识形态引领力提升研究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理工科高校智库建设机制研究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全面加强高校党的纪律建设相关问题研究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新时代高校廉洁文化建设研究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宋体" w:eastAsia="仿宋_GB2312" w:cs="PMingLiU"/>
          <w:kern w:val="0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5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一般课题：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高校党员师生基本培训全覆盖研究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激励干部在中国式现代化建设中担当作为研究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激发拔尖创新人才创新创造活力研究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新时代高校师德师风建设研究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高校教师国情教育路径研究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高校辅导员工作室建设有效路径研究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大学生“社恐”现象的心理机制与有效应对研究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辅导员对大学生高质量就业的作用机制发挥研究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新时代高校思想政治教育与国防教育融合发展研究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  <w14:ligatures w14:val="none"/>
        </w:rPr>
        <w:t>基于学生群体画像分析的高校精准思政研究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国家战略新兴产业发展与拔尖创新人才培养的相关性研究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人才结构社会需求与学科专业设置改革互动研究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自主人才培养能力与质量提高的机制研究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中国特色工程教育的发展模式研究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习近平文化思想引领学校文化育人的实践路径研究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习近平新时代中国特色社会主义思想课程体系建设研究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习近平新时代中国特色社会主义思想的世界观和方法论融入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高校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思政课程和课程思政教育教学研究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高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校培育和践行社会主义核心价值观创新机制研究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伟大建党精神引领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大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学生理想信念教育研究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高校质量文化建设的实践研究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弘扬教育家精神推进教师思想政治和师德师风建设工作研究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拔尖创新人才培养与思想政治教育创新研究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新媒体时代高校网络思政工作创新研究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bidi="zh-CN"/>
        </w:rPr>
        <w:t>推动健全高校全面从严治党体系研究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bidi="zh-CN"/>
        </w:rPr>
        <w:t>加强高校年轻干部教育监督管理研究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bidi="zh-CN"/>
        </w:rPr>
        <w:t>高校精准运用“四种形态”研究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4" w:leftChars="0" w:hanging="454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zh-CN"/>
        </w:rPr>
        <w:t>优化高校巡察整改工作机制研究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宋体" w:eastAsia="仿宋_GB2312" w:cs="PMingLiU"/>
          <w:kern w:val="0"/>
          <w:sz w:val="30"/>
          <w:szCs w:val="30"/>
          <w:lang w:val="en-US" w:eastAsia="zh-CN" w:bidi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9FA7C4F-E128-4D7D-B19E-FA8DBC1EDB14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2" w:fontKey="{6CFDC438-94CC-40A8-B89B-FEC31A26365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1C0A25E-1BC0-4C46-9039-82AD16C9C8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8DEFA"/>
    <w:multiLevelType w:val="singleLevel"/>
    <w:tmpl w:val="F998DEFA"/>
    <w:lvl w:ilvl="0" w:tentative="0">
      <w:start w:val="1"/>
      <w:numFmt w:val="decimal"/>
      <w:lvlText w:val="指南%1、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仿宋" w:hAnsi="仿宋" w:eastAsia="仿宋" w:cs="仿宋"/>
      </w:rPr>
    </w:lvl>
  </w:abstractNum>
  <w:abstractNum w:abstractNumId="1">
    <w:nsid w:val="282BB6DF"/>
    <w:multiLevelType w:val="singleLevel"/>
    <w:tmpl w:val="282BB6DF"/>
    <w:lvl w:ilvl="0" w:tentative="0">
      <w:start w:val="1"/>
      <w:numFmt w:val="decimal"/>
      <w:lvlText w:val="指南%1、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仿宋" w:hAnsi="仿宋" w:eastAsia="仿宋" w:cs="仿宋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GM3YWZiOWY1NTg1OTcyZmU1ZWNkZTllNmJmNTEifQ=="/>
  </w:docVars>
  <w:rsids>
    <w:rsidRoot w:val="00107E0F"/>
    <w:rsid w:val="00107E0F"/>
    <w:rsid w:val="00BD5C77"/>
    <w:rsid w:val="021F2750"/>
    <w:rsid w:val="0D4F587B"/>
    <w:rsid w:val="1205689B"/>
    <w:rsid w:val="184B5B6A"/>
    <w:rsid w:val="1E7F010E"/>
    <w:rsid w:val="36544D8F"/>
    <w:rsid w:val="47D030A0"/>
    <w:rsid w:val="4F19150D"/>
    <w:rsid w:val="507C775A"/>
    <w:rsid w:val="50881227"/>
    <w:rsid w:val="53304DBE"/>
    <w:rsid w:val="56665134"/>
    <w:rsid w:val="57B01D6B"/>
    <w:rsid w:val="60D522BF"/>
    <w:rsid w:val="682C160E"/>
    <w:rsid w:val="72FE683F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927</Characters>
  <Lines>1</Lines>
  <Paragraphs>1</Paragraphs>
  <TotalTime>10</TotalTime>
  <ScaleCrop>false</ScaleCrop>
  <LinksUpToDate>false</LinksUpToDate>
  <CharactersWithSpaces>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2024-04-22T05:33:00Z</dcterms:created>
  <dc:creator>任惠兰</dc:creator>
  <cp:lastModifiedBy>KJC</cp:lastModifiedBy>
  <cp:lastPrinted>2024-06-13T06:37:00Z</cp:lastPrinted>
  <dcterms:modified xsi:type="dcterms:W3CDTF">2024-06-18T03:48:14Z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8FA8E91133864E96BB0CE2C81E6D7FA2_13</vt:lpwstr>
  </property>
</Properties>
</file>